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E03241">
            <w:pPr>
              <w:jc w:val="center"/>
            </w:pPr>
            <w:r>
              <w:t>SITUATION REPORT: #110</w:t>
            </w:r>
            <w:r w:rsidR="00E03241">
              <w:t>601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E03241">
            <w:r>
              <w:t>Date:</w:t>
            </w:r>
            <w:r w:rsidR="005533D8">
              <w:t xml:space="preserve"> </w:t>
            </w:r>
            <w:r w:rsidR="00E03241">
              <w:t>6/01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None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4C45D0" w:rsidP="00EF7DFA">
      <w:pPr>
        <w:ind w:left="720"/>
      </w:pPr>
      <w:r>
        <w:t xml:space="preserve">Today </w:t>
      </w:r>
      <w:r w:rsidR="00E03241">
        <w:t xml:space="preserve">even </w:t>
      </w:r>
      <w:r w:rsidR="00B02984">
        <w:t>w</w:t>
      </w:r>
      <w:r>
        <w:t>ith</w:t>
      </w:r>
      <w:r w:rsidR="00E03241">
        <w:t xml:space="preserve"> the</w:t>
      </w:r>
      <w:r>
        <w:t xml:space="preserve"> </w:t>
      </w:r>
      <w:r w:rsidR="005533D8">
        <w:t xml:space="preserve">warmer </w:t>
      </w:r>
      <w:r w:rsidR="005371B0">
        <w:t xml:space="preserve">temps </w:t>
      </w:r>
      <w:r w:rsidR="00E03241">
        <w:t>most of the</w:t>
      </w:r>
      <w:r>
        <w:t xml:space="preserve"> water levels in the creeks and rivers</w:t>
      </w:r>
      <w:r w:rsidR="00E03241">
        <w:t>, have receded some</w:t>
      </w:r>
      <w:r w:rsidR="00B02984">
        <w:t>.</w:t>
      </w:r>
      <w:r w:rsidR="00E03241">
        <w:t xml:space="preserve">  If we don’t see a major warming or rain event we may have dodged the bullet.</w:t>
      </w:r>
      <w:r>
        <w:t xml:space="preserve">  </w:t>
      </w:r>
      <w:r w:rsidR="00C10C27" w:rsidRPr="00CB486E">
        <w:t xml:space="preserve">The North Fork Smith River is running over its banks west of town </w:t>
      </w:r>
      <w:r w:rsidRPr="00CB486E">
        <w:t xml:space="preserve">and is running over the intersection of Slaughter House LN and Luppold Rd.  </w:t>
      </w:r>
      <w:r w:rsidR="00C10C27" w:rsidRPr="00CB486E">
        <w:t xml:space="preserve">All rivers and creeks in Meagher County are at flood stage and some running over their banks.  </w:t>
      </w:r>
      <w:r w:rsidR="00B02984">
        <w:t xml:space="preserve">Helena Forest has closed the Confederate &amp; Benton Gulch Rd.  The creek has washed the road away and is still running down the road.  </w:t>
      </w:r>
      <w:r w:rsidR="00C10C27">
        <w:t xml:space="preserve">Lewis and Clark Forest has some roads washing out due to the flooding on Four Mile Rd and Spring Creek.  </w:t>
      </w:r>
      <w:r w:rsidR="00E03241">
        <w:t xml:space="preserve">It appears the Lewis &amp; Clark Forest may open some of the roads tomorrow.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E03241" w:rsidRDefault="00E03241" w:rsidP="00C10C27">
      <w:pPr>
        <w:rPr>
          <w:b/>
          <w:bCs/>
        </w:rPr>
      </w:pPr>
    </w:p>
    <w:p w:rsidR="00E03241" w:rsidRDefault="00E03241" w:rsidP="00C10C27">
      <w:r>
        <w:rPr>
          <w:b/>
          <w:bCs/>
        </w:rPr>
        <w:t xml:space="preserve">Today: </w:t>
      </w:r>
      <w:r>
        <w:t xml:space="preserve">Isolated showers, with thunderstorms also possible after noon. </w:t>
      </w:r>
      <w:proofErr w:type="gramStart"/>
      <w:r>
        <w:t>Partly sunny, with a high near 68.</w:t>
      </w:r>
      <w:proofErr w:type="gramEnd"/>
      <w:r>
        <w:t xml:space="preserve"> East wind between 8 and 11 mph. Chance of precipitation is 20%.</w:t>
      </w:r>
      <w:r>
        <w:br/>
      </w:r>
      <w:r>
        <w:br/>
      </w:r>
      <w:r>
        <w:rPr>
          <w:b/>
          <w:bCs/>
        </w:rPr>
        <w:t xml:space="preserve">Tonight: </w:t>
      </w:r>
      <w:r>
        <w:t xml:space="preserve">A chance of showers and thunderstorms. </w:t>
      </w:r>
      <w:proofErr w:type="gramStart"/>
      <w:r>
        <w:t>Mostly cloudy, with a low around 38.</w:t>
      </w:r>
      <w:proofErr w:type="gramEnd"/>
      <w:r>
        <w:t xml:space="preserve"> </w:t>
      </w:r>
      <w:proofErr w:type="gramStart"/>
      <w:r>
        <w:t>East southeast wind between 11 and 14 mph becoming calm.</w:t>
      </w:r>
      <w:proofErr w:type="gramEnd"/>
      <w:r>
        <w:t xml:space="preserve"> Winds could gust as high as 20 mph. Chance of precipitation is 30%.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4C45D0" w:rsidP="005533D8">
      <w:pPr>
        <w:ind w:left="720"/>
      </w:pPr>
      <w:r>
        <w:t xml:space="preserve">The Newlan Creek Rd </w:t>
      </w:r>
      <w:r w:rsidR="00CB486E">
        <w:t>was opened today at 9:30am</w:t>
      </w:r>
      <w:r w:rsidR="005371B0">
        <w:t xml:space="preserve">.  </w:t>
      </w:r>
      <w:r w:rsidR="00102EDB">
        <w:t xml:space="preserve">Lewis &amp; Clark Forest has closed its roads and Campgrounds.  </w:t>
      </w:r>
      <w:r w:rsidR="00CB486E">
        <w:t xml:space="preserve">There is talk today that Lewis &amp; Clark may open some of its roads tomorrow.  </w:t>
      </w:r>
      <w:r w:rsidR="00B02984">
        <w:t xml:space="preserve">Helena National Forest has closed the Confederate and Benton Gulch RD where it enters the National Forest.  </w:t>
      </w:r>
      <w:r>
        <w:t xml:space="preserve">The Smith </w:t>
      </w:r>
      <w:r w:rsidR="00CB486E">
        <w:t>River was opened today to floaters</w:t>
      </w:r>
      <w:r w:rsidR="00102EDB">
        <w:t>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102EDB" w:rsidP="005533D8">
      <w:pPr>
        <w:ind w:left="720"/>
      </w:pPr>
      <w:r>
        <w:t>No known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sectPr w:rsidR="005D5C90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6F" w:rsidRDefault="00B3666F" w:rsidP="006A2221">
      <w:pPr>
        <w:spacing w:after="0" w:line="240" w:lineRule="auto"/>
      </w:pPr>
      <w:r>
        <w:separator/>
      </w:r>
    </w:p>
  </w:endnote>
  <w:endnote w:type="continuationSeparator" w:id="0">
    <w:p w:rsidR="00B3666F" w:rsidRDefault="00B3666F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6F" w:rsidRDefault="00B3666F" w:rsidP="006A2221">
      <w:pPr>
        <w:spacing w:after="0" w:line="240" w:lineRule="auto"/>
      </w:pPr>
      <w:r>
        <w:separator/>
      </w:r>
    </w:p>
  </w:footnote>
  <w:footnote w:type="continuationSeparator" w:id="0">
    <w:p w:rsidR="00B3666F" w:rsidRDefault="00B3666F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E44"/>
    <w:rsid w:val="00177D04"/>
    <w:rsid w:val="001908A5"/>
    <w:rsid w:val="001C026F"/>
    <w:rsid w:val="001E7B3B"/>
    <w:rsid w:val="001E7D11"/>
    <w:rsid w:val="00220D97"/>
    <w:rsid w:val="00227318"/>
    <w:rsid w:val="00237B41"/>
    <w:rsid w:val="00253247"/>
    <w:rsid w:val="00265E9A"/>
    <w:rsid w:val="002A3939"/>
    <w:rsid w:val="002A5F19"/>
    <w:rsid w:val="002A68BB"/>
    <w:rsid w:val="002B21C5"/>
    <w:rsid w:val="002D0A3E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6C40"/>
    <w:rsid w:val="004934AB"/>
    <w:rsid w:val="004A0296"/>
    <w:rsid w:val="004A43D0"/>
    <w:rsid w:val="004C45D0"/>
    <w:rsid w:val="004E438A"/>
    <w:rsid w:val="004F6A59"/>
    <w:rsid w:val="005371B0"/>
    <w:rsid w:val="005448A6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D3E03"/>
    <w:rsid w:val="006E701F"/>
    <w:rsid w:val="00712004"/>
    <w:rsid w:val="00736099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8353F1"/>
    <w:rsid w:val="00842D83"/>
    <w:rsid w:val="008B2561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7FB1"/>
    <w:rsid w:val="00B02984"/>
    <w:rsid w:val="00B24511"/>
    <w:rsid w:val="00B3666F"/>
    <w:rsid w:val="00B41C4D"/>
    <w:rsid w:val="00B92E17"/>
    <w:rsid w:val="00BC0B08"/>
    <w:rsid w:val="00BC5FF1"/>
    <w:rsid w:val="00BE20D9"/>
    <w:rsid w:val="00BE4FE8"/>
    <w:rsid w:val="00C10C27"/>
    <w:rsid w:val="00C1438B"/>
    <w:rsid w:val="00C51A0E"/>
    <w:rsid w:val="00C5531C"/>
    <w:rsid w:val="00CA4B33"/>
    <w:rsid w:val="00CA4BD9"/>
    <w:rsid w:val="00CB486E"/>
    <w:rsid w:val="00D12DD6"/>
    <w:rsid w:val="00D31D20"/>
    <w:rsid w:val="00D64CCE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61EAE"/>
    <w:rsid w:val="00E63026"/>
    <w:rsid w:val="00E76B82"/>
    <w:rsid w:val="00E83AF3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B20D4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2011-06-01T15:34:00Z</dcterms:created>
  <dcterms:modified xsi:type="dcterms:W3CDTF">2011-06-01T17:08:00Z</dcterms:modified>
</cp:coreProperties>
</file>